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168" w:rsidRPr="001901D4" w:rsidRDefault="00554168" w:rsidP="00773FEB">
      <w:pPr>
        <w:pStyle w:val="rvps7"/>
        <w:shd w:val="clear" w:color="auto" w:fill="FFFFFF"/>
        <w:spacing w:before="0" w:beforeAutospacing="0" w:after="0" w:afterAutospacing="0"/>
        <w:jc w:val="center"/>
        <w:rPr>
          <w:rStyle w:val="rvts15"/>
          <w:b/>
          <w:bCs/>
          <w:color w:val="333333"/>
          <w:sz w:val="26"/>
          <w:szCs w:val="26"/>
          <w:lang w:val="uk-UA"/>
        </w:rPr>
      </w:pPr>
      <w:bookmarkStart w:id="0" w:name="_GoBack"/>
      <w:bookmarkEnd w:id="0"/>
      <w:r w:rsidRPr="001901D4">
        <w:rPr>
          <w:rStyle w:val="rvts15"/>
          <w:b/>
          <w:bCs/>
          <w:color w:val="333333"/>
          <w:sz w:val="26"/>
          <w:szCs w:val="26"/>
          <w:lang w:val="uk-UA"/>
        </w:rPr>
        <w:t>Перелік документів, що має надати акціонер</w:t>
      </w:r>
      <w:r w:rsidR="00773FEB" w:rsidRPr="001901D4">
        <w:rPr>
          <w:rStyle w:val="rvts15"/>
          <w:b/>
          <w:bCs/>
          <w:color w:val="333333"/>
          <w:sz w:val="26"/>
          <w:szCs w:val="26"/>
          <w:lang w:val="uk-UA"/>
        </w:rPr>
        <w:t xml:space="preserve">                                    </w:t>
      </w:r>
      <w:r w:rsidR="0095062A" w:rsidRPr="001901D4">
        <w:rPr>
          <w:rStyle w:val="rvts15"/>
          <w:b/>
          <w:bCs/>
          <w:color w:val="333333"/>
          <w:sz w:val="26"/>
          <w:szCs w:val="26"/>
          <w:lang w:val="uk-UA"/>
        </w:rPr>
        <w:t xml:space="preserve">                           </w:t>
      </w:r>
      <w:r w:rsidRPr="001901D4">
        <w:rPr>
          <w:rStyle w:val="rvts15"/>
          <w:b/>
          <w:bCs/>
          <w:color w:val="333333"/>
          <w:sz w:val="26"/>
          <w:szCs w:val="26"/>
          <w:lang w:val="uk-UA"/>
        </w:rPr>
        <w:t xml:space="preserve"> (представник акціонера) для </w:t>
      </w:r>
      <w:r w:rsidR="005C6760" w:rsidRPr="001901D4">
        <w:rPr>
          <w:rStyle w:val="rvts15"/>
          <w:b/>
          <w:bCs/>
          <w:color w:val="333333"/>
          <w:sz w:val="26"/>
          <w:szCs w:val="26"/>
          <w:lang w:val="uk-UA"/>
        </w:rPr>
        <w:t xml:space="preserve"> його </w:t>
      </w:r>
      <w:r w:rsidRPr="001901D4">
        <w:rPr>
          <w:rStyle w:val="rvts15"/>
          <w:b/>
          <w:bCs/>
          <w:color w:val="333333"/>
          <w:sz w:val="26"/>
          <w:szCs w:val="26"/>
          <w:lang w:val="uk-UA"/>
        </w:rPr>
        <w:t>участі у  загальних збор</w:t>
      </w:r>
      <w:r w:rsidR="007B2156" w:rsidRPr="001901D4">
        <w:rPr>
          <w:rStyle w:val="rvts15"/>
          <w:b/>
          <w:bCs/>
          <w:color w:val="333333"/>
          <w:sz w:val="26"/>
          <w:szCs w:val="26"/>
          <w:lang w:val="uk-UA"/>
        </w:rPr>
        <w:t xml:space="preserve">ах </w:t>
      </w:r>
      <w:r w:rsidR="005C6760" w:rsidRPr="001901D4">
        <w:rPr>
          <w:rStyle w:val="rvts15"/>
          <w:b/>
          <w:bCs/>
          <w:color w:val="333333"/>
          <w:sz w:val="26"/>
          <w:szCs w:val="26"/>
          <w:lang w:val="uk-UA"/>
        </w:rPr>
        <w:t>акціонерів</w:t>
      </w:r>
    </w:p>
    <w:p w:rsidR="007B2156" w:rsidRPr="001901D4" w:rsidRDefault="007B2156" w:rsidP="00773FEB">
      <w:pPr>
        <w:pStyle w:val="rvps7"/>
        <w:shd w:val="clear" w:color="auto" w:fill="FFFFFF"/>
        <w:spacing w:before="0" w:beforeAutospacing="0" w:after="0" w:afterAutospacing="0"/>
        <w:jc w:val="center"/>
        <w:rPr>
          <w:rStyle w:val="rvts15"/>
          <w:b/>
          <w:bCs/>
          <w:color w:val="333333"/>
          <w:sz w:val="26"/>
          <w:szCs w:val="26"/>
          <w:lang w:val="uk-UA"/>
        </w:rPr>
      </w:pPr>
      <w:r w:rsidRPr="001901D4">
        <w:rPr>
          <w:rStyle w:val="rvts15"/>
          <w:b/>
          <w:bCs/>
          <w:color w:val="333333"/>
          <w:sz w:val="26"/>
          <w:szCs w:val="26"/>
          <w:lang w:val="uk-UA"/>
        </w:rPr>
        <w:t>Приватного акціонерного товариства «СМІЛА-АГРОПРОМСЕВІС»</w:t>
      </w:r>
      <w:r w:rsidR="005C6760" w:rsidRPr="001901D4">
        <w:rPr>
          <w:rStyle w:val="rvts15"/>
          <w:b/>
          <w:bCs/>
          <w:color w:val="333333"/>
          <w:sz w:val="26"/>
          <w:szCs w:val="26"/>
          <w:lang w:val="uk-UA"/>
        </w:rPr>
        <w:t>, дистанційне проведення яких призначено на 30.04.2026 року</w:t>
      </w:r>
      <w:r w:rsidRPr="001901D4">
        <w:rPr>
          <w:rStyle w:val="rvts15"/>
          <w:b/>
          <w:bCs/>
          <w:color w:val="333333"/>
          <w:sz w:val="26"/>
          <w:szCs w:val="26"/>
          <w:lang w:val="uk-UA"/>
        </w:rPr>
        <w:t xml:space="preserve"> </w:t>
      </w:r>
    </w:p>
    <w:p w:rsidR="005C6760" w:rsidRPr="001901D4" w:rsidRDefault="005C6760" w:rsidP="00BA42D9">
      <w:pPr>
        <w:pStyle w:val="rvps7"/>
        <w:shd w:val="clear" w:color="auto" w:fill="FFFFFF"/>
        <w:spacing w:before="0" w:beforeAutospacing="0" w:after="0" w:afterAutospacing="0"/>
        <w:jc w:val="center"/>
        <w:rPr>
          <w:rStyle w:val="rvts15"/>
          <w:b/>
          <w:bCs/>
          <w:color w:val="333333"/>
          <w:sz w:val="26"/>
          <w:szCs w:val="26"/>
          <w:lang w:val="uk-UA"/>
        </w:rPr>
      </w:pPr>
    </w:p>
    <w:p w:rsidR="0095062A" w:rsidRPr="001901D4" w:rsidRDefault="0095062A" w:rsidP="003E3729">
      <w:pPr>
        <w:pStyle w:val="rvps7"/>
        <w:shd w:val="clear" w:color="auto" w:fill="FFFFFF"/>
        <w:spacing w:before="0" w:beforeAutospacing="0" w:after="0" w:afterAutospacing="0"/>
        <w:ind w:firstLine="652"/>
        <w:jc w:val="both"/>
        <w:rPr>
          <w:rStyle w:val="rvts15"/>
          <w:bCs/>
          <w:sz w:val="22"/>
          <w:szCs w:val="22"/>
          <w:lang w:val="uk-UA"/>
        </w:rPr>
      </w:pPr>
      <w:r w:rsidRPr="001901D4">
        <w:rPr>
          <w:rStyle w:val="rvts15"/>
          <w:bCs/>
          <w:sz w:val="22"/>
          <w:szCs w:val="22"/>
          <w:lang w:val="uk-UA"/>
        </w:rPr>
        <w:t>Акціонер, який особисто приймає участь у голосуванні, повинен надати документ, що посвідчує його особу.</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BA42D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Представником акціонера – фізичної чи юридичної особи на Загальних зборах може бути інша фізична особа або уповноважена особа юридичної особи.</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Акціонер має право призначити свого представника постійно або на певний строк.</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нотаріально дії, а також може посвідчуватися депозитарною установою у встановленому Національною комісією з цінних паперів та фондового ринку порядку.</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Довіреність на право участі та голосування на Загальних зборах  від імені юридичної особи видається її органом або іншою особою, уповноваженою на це її органом  або іншою особою, уповноваженою на це її установчими документами.  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голосувати.</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Під час голосування на Загальних зборах представник повинен голосувати саме так, як передбачено завданням щодо голосування.</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Якщо довіреність не містить завдання щодо голосування, представник вирішує всі питання щодо голосування на загальних зборах на свій розсуд.</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 xml:space="preserve">Акціонер має право видати довіреність на право участі та голосування на загальних зборах декільком своїм представникам. </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У разі якщо для участі в загальних зборах з’явилися декілька представників акціонера, здійснюється ідентифікація та реєстрація того представника, довіреність якому видано пізніше.</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0829F9" w:rsidRPr="000829F9" w:rsidRDefault="000829F9" w:rsidP="003E3729">
      <w:pPr>
        <w:spacing w:after="0" w:line="240" w:lineRule="auto"/>
        <w:ind w:firstLine="652"/>
        <w:jc w:val="both"/>
        <w:rPr>
          <w:rFonts w:ascii="Times New Roman" w:hAnsi="Times New Roman"/>
          <w:lang w:val="uk-UA"/>
        </w:rPr>
      </w:pPr>
      <w:r w:rsidRPr="000829F9">
        <w:rPr>
          <w:rFonts w:ascii="Times New Roman" w:hAnsi="Times New Roman"/>
          <w:lang w:val="uk-UA"/>
        </w:rPr>
        <w:t>Акціонер має право у будь-який час до закінчення строку, відведеного  для реєстрації учасників Загальних зборів відкликати або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p w:rsidR="000829F9" w:rsidRPr="000829F9" w:rsidRDefault="000829F9" w:rsidP="003E3729">
      <w:pPr>
        <w:pStyle w:val="a4"/>
        <w:spacing w:before="0" w:beforeAutospacing="0" w:after="0" w:afterAutospacing="0"/>
        <w:ind w:firstLine="652"/>
        <w:jc w:val="both"/>
        <w:rPr>
          <w:sz w:val="22"/>
          <w:szCs w:val="22"/>
          <w:lang w:val="uk-UA"/>
        </w:rPr>
      </w:pPr>
    </w:p>
    <w:p w:rsidR="0095062A" w:rsidRPr="001901D4" w:rsidRDefault="0095062A" w:rsidP="003E3729">
      <w:pPr>
        <w:pStyle w:val="a4"/>
        <w:spacing w:before="0" w:beforeAutospacing="0" w:after="0" w:afterAutospacing="0"/>
        <w:ind w:firstLine="652"/>
        <w:jc w:val="both"/>
        <w:rPr>
          <w:sz w:val="22"/>
          <w:szCs w:val="22"/>
          <w:lang w:val="uk-UA"/>
        </w:rPr>
      </w:pPr>
      <w:r w:rsidRPr="001901D4">
        <w:rPr>
          <w:sz w:val="22"/>
          <w:szCs w:val="22"/>
          <w:lang w:val="uk-UA"/>
        </w:rPr>
        <w:t>Бюлетень для голосування на загальних зборах, засвідчений за допомогою кваліфікованого електронного підпису акціонера (його представника), направляється депозитарній установі на адресу електронної пошти, яка визначена депозитарною установою.</w:t>
      </w:r>
    </w:p>
    <w:p w:rsidR="0095062A" w:rsidRPr="001901D4" w:rsidRDefault="0095062A" w:rsidP="003E3729">
      <w:pPr>
        <w:pStyle w:val="a4"/>
        <w:spacing w:before="0" w:beforeAutospacing="0" w:after="0" w:afterAutospacing="0"/>
        <w:ind w:firstLine="652"/>
        <w:jc w:val="both"/>
        <w:rPr>
          <w:sz w:val="22"/>
          <w:szCs w:val="22"/>
          <w:lang w:val="uk-UA"/>
        </w:rPr>
      </w:pPr>
      <w:r w:rsidRPr="001901D4">
        <w:rPr>
          <w:sz w:val="22"/>
          <w:szCs w:val="22"/>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95062A" w:rsidRPr="001901D4" w:rsidRDefault="0095062A" w:rsidP="003E3729">
      <w:pPr>
        <w:pStyle w:val="a4"/>
        <w:spacing w:before="0" w:beforeAutospacing="0" w:after="0" w:afterAutospacing="0"/>
        <w:ind w:firstLine="652"/>
        <w:jc w:val="both"/>
        <w:rPr>
          <w:sz w:val="22"/>
          <w:szCs w:val="22"/>
          <w:lang w:val="uk-UA"/>
        </w:rPr>
      </w:pPr>
      <w:r w:rsidRPr="001901D4">
        <w:rPr>
          <w:sz w:val="22"/>
          <w:szCs w:val="22"/>
          <w:lang w:val="uk-UA"/>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95062A" w:rsidRPr="001901D4" w:rsidRDefault="0095062A" w:rsidP="003E3729">
      <w:pPr>
        <w:pStyle w:val="a4"/>
        <w:spacing w:before="0" w:beforeAutospacing="0" w:after="0" w:afterAutospacing="0"/>
        <w:ind w:firstLine="652"/>
        <w:jc w:val="both"/>
        <w:rPr>
          <w:sz w:val="22"/>
          <w:szCs w:val="22"/>
          <w:lang w:val="uk-UA"/>
        </w:rPr>
      </w:pPr>
      <w:r w:rsidRPr="001901D4">
        <w:rPr>
          <w:sz w:val="22"/>
          <w:szCs w:val="22"/>
          <w:lang w:val="uk-UA"/>
        </w:rPr>
        <w:t>Акціонер в період проведення голосування може надати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rsidR="0095062A" w:rsidRDefault="0095062A" w:rsidP="003E3729">
      <w:pPr>
        <w:pStyle w:val="rvps7"/>
        <w:shd w:val="clear" w:color="auto" w:fill="FFFFFF"/>
        <w:spacing w:before="0" w:beforeAutospacing="0" w:after="0" w:afterAutospacing="0"/>
        <w:ind w:firstLine="652"/>
        <w:jc w:val="both"/>
        <w:rPr>
          <w:color w:val="333333"/>
          <w:sz w:val="22"/>
          <w:szCs w:val="22"/>
          <w:lang w:val="uk-UA"/>
        </w:rPr>
      </w:pPr>
    </w:p>
    <w:p w:rsidR="00FF7406" w:rsidRDefault="00FF7406" w:rsidP="00656455">
      <w:pPr>
        <w:pStyle w:val="rvps7"/>
        <w:shd w:val="clear" w:color="auto" w:fill="FFFFFF"/>
        <w:spacing w:before="0" w:beforeAutospacing="0" w:after="0" w:afterAutospacing="0"/>
        <w:ind w:firstLine="709"/>
        <w:jc w:val="both"/>
        <w:rPr>
          <w:color w:val="333333"/>
          <w:sz w:val="22"/>
          <w:szCs w:val="22"/>
          <w:lang w:val="uk-UA"/>
        </w:rPr>
      </w:pPr>
    </w:p>
    <w:p w:rsidR="00FF7406" w:rsidRDefault="00FF7406" w:rsidP="00656455">
      <w:pPr>
        <w:pStyle w:val="rvps7"/>
        <w:shd w:val="clear" w:color="auto" w:fill="FFFFFF"/>
        <w:spacing w:before="0" w:beforeAutospacing="0" w:after="0" w:afterAutospacing="0"/>
        <w:ind w:firstLine="709"/>
        <w:jc w:val="both"/>
        <w:rPr>
          <w:color w:val="333333"/>
          <w:sz w:val="22"/>
          <w:szCs w:val="22"/>
          <w:lang w:val="uk-UA"/>
        </w:rPr>
      </w:pPr>
    </w:p>
    <w:sectPr w:rsidR="00FF7406" w:rsidSect="00773FE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54168"/>
    <w:rsid w:val="00060096"/>
    <w:rsid w:val="000829F9"/>
    <w:rsid w:val="000C1746"/>
    <w:rsid w:val="000D52A0"/>
    <w:rsid w:val="000F3B8A"/>
    <w:rsid w:val="00171DE5"/>
    <w:rsid w:val="001901D4"/>
    <w:rsid w:val="003E3729"/>
    <w:rsid w:val="004A3A45"/>
    <w:rsid w:val="00504DF1"/>
    <w:rsid w:val="00554168"/>
    <w:rsid w:val="00572198"/>
    <w:rsid w:val="005C6760"/>
    <w:rsid w:val="005F42F4"/>
    <w:rsid w:val="00647A8F"/>
    <w:rsid w:val="00656455"/>
    <w:rsid w:val="00675B42"/>
    <w:rsid w:val="006C068B"/>
    <w:rsid w:val="007707AE"/>
    <w:rsid w:val="00773FEB"/>
    <w:rsid w:val="007B2156"/>
    <w:rsid w:val="008872FF"/>
    <w:rsid w:val="0095062A"/>
    <w:rsid w:val="00B90B57"/>
    <w:rsid w:val="00BA42D9"/>
    <w:rsid w:val="00C044D4"/>
    <w:rsid w:val="00D1131C"/>
    <w:rsid w:val="00D304EB"/>
    <w:rsid w:val="00E10562"/>
    <w:rsid w:val="00F425D9"/>
    <w:rsid w:val="00FD7C6A"/>
    <w:rsid w:val="00FF7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70CF1-751B-4151-9761-EA7AAEE8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54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54168"/>
  </w:style>
  <w:style w:type="paragraph" w:customStyle="1" w:styleId="rvps2">
    <w:name w:val="rvps2"/>
    <w:basedOn w:val="a"/>
    <w:rsid w:val="005541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4168"/>
    <w:rPr>
      <w:color w:val="0000FF"/>
      <w:u w:val="single"/>
    </w:rPr>
  </w:style>
  <w:style w:type="paragraph" w:styleId="a4">
    <w:name w:val="Normal (Web)"/>
    <w:basedOn w:val="a"/>
    <w:uiPriority w:val="99"/>
    <w:semiHidden/>
    <w:unhideWhenUsed/>
    <w:rsid w:val="009506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51423">
      <w:bodyDiv w:val="1"/>
      <w:marLeft w:val="0"/>
      <w:marRight w:val="0"/>
      <w:marTop w:val="0"/>
      <w:marBottom w:val="0"/>
      <w:divBdr>
        <w:top w:val="none" w:sz="0" w:space="0" w:color="auto"/>
        <w:left w:val="none" w:sz="0" w:space="0" w:color="auto"/>
        <w:bottom w:val="none" w:sz="0" w:space="0" w:color="auto"/>
        <w:right w:val="none" w:sz="0" w:space="0" w:color="auto"/>
      </w:divBdr>
    </w:div>
    <w:div w:id="156579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Pages>
  <Words>2420</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1 2</cp:lastModifiedBy>
  <cp:revision>18</cp:revision>
  <cp:lastPrinted>2026-04-24T14:48:00Z</cp:lastPrinted>
  <dcterms:created xsi:type="dcterms:W3CDTF">2026-04-22T16:08:00Z</dcterms:created>
  <dcterms:modified xsi:type="dcterms:W3CDTF">2026-04-27T06:51:00Z</dcterms:modified>
</cp:coreProperties>
</file>